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18"/>
        </w:rPr>
        <w:t xml:space="preserve">Готовое решение:</w:t>
      </w:r>
    </w:p>
    <w:p>
      <w:pPr>
        <w:pStyle w:val="0"/>
      </w:pPr>
      <w:hyperlink w:history="0" r:id="rId4" w:tooltip="Готовое решение: Как признать недействительным договор цессии (КонсультантПлюс, 2024) {КонсультантПлюс}">
        <w:r>
          <w:rPr>
            <w:sz w:val="20"/>
            <w:color w:val="0000ff"/>
          </w:rPr>
          <w:t xml:space="preserve">Как признать недействительным договор цессии</w:t>
        </w:r>
      </w:hyperlink>
    </w:p>
    <w:p>
      <w:pPr>
        <w:pStyle w:val="0"/>
      </w:pPr>
      <w:r>
        <w:rPr>
          <w:sz w:val="18"/>
        </w:rPr>
        <w:t xml:space="preserve">(КонсультантПлюс, 2024)</w:t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Список документов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23.07.2024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	<Relationship Id="rId4" Type="http://schemas.openxmlformats.org/officeDocument/2006/relationships/hyperlink" Target="https://login.consultant.ru/link/?req=doc&amp;base=CJI&amp;n=108879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4024.00.30</Application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документов</dc:title>
  <dcterms:created xsi:type="dcterms:W3CDTF">2024-07-23T10:22:24Z</dcterms:created>
</cp:coreProperties>
</file>